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9BC13" w14:textId="0023C721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B85846">
        <w:rPr>
          <w:b/>
          <w:noProof/>
          <w:sz w:val="24"/>
        </w:rPr>
        <w:t>6</w:t>
      </w:r>
      <w:r w:rsidR="001A72C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531AF">
        <w:rPr>
          <w:b/>
          <w:i/>
          <w:noProof/>
          <w:sz w:val="28"/>
        </w:rPr>
        <w:t>R4-180</w:t>
      </w:r>
      <w:r w:rsidR="00E05396">
        <w:rPr>
          <w:b/>
          <w:i/>
          <w:noProof/>
          <w:sz w:val="28"/>
        </w:rPr>
        <w:t>4943</w:t>
      </w:r>
    </w:p>
    <w:p w14:paraId="74B10CC1" w14:textId="3B03DF46" w:rsidR="002A7181" w:rsidRDefault="007E2DD4" w:rsidP="002A7181">
      <w:pPr>
        <w:pStyle w:val="CRCoverPage"/>
        <w:outlineLvl w:val="0"/>
        <w:rPr>
          <w:b/>
          <w:noProof/>
          <w:sz w:val="24"/>
        </w:rPr>
      </w:pPr>
      <w:r w:rsidRPr="007E2DD4">
        <w:rPr>
          <w:b/>
          <w:noProof/>
          <w:sz w:val="24"/>
        </w:rPr>
        <w:t>Melbourne</w:t>
      </w:r>
      <w:r w:rsidR="002A7181">
        <w:rPr>
          <w:b/>
          <w:noProof/>
          <w:sz w:val="24"/>
        </w:rPr>
        <w:t xml:space="preserve">, </w:t>
      </w:r>
      <w:r w:rsidR="001A72CC">
        <w:rPr>
          <w:b/>
          <w:noProof/>
          <w:sz w:val="24"/>
        </w:rPr>
        <w:t>Australia</w:t>
      </w:r>
      <w:r w:rsidR="00F221F6">
        <w:rPr>
          <w:b/>
          <w:noProof/>
          <w:sz w:val="24"/>
        </w:rPr>
        <w:t xml:space="preserve"> </w:t>
      </w:r>
      <w:r w:rsidR="001A72CC">
        <w:rPr>
          <w:b/>
          <w:noProof/>
          <w:sz w:val="24"/>
        </w:rPr>
        <w:t>1</w:t>
      </w:r>
      <w:r w:rsidR="00B85846">
        <w:rPr>
          <w:b/>
          <w:noProof/>
          <w:sz w:val="24"/>
        </w:rPr>
        <w:t>6</w:t>
      </w:r>
      <w:r w:rsidR="00176A88">
        <w:rPr>
          <w:b/>
          <w:noProof/>
          <w:sz w:val="24"/>
          <w:vertAlign w:val="superscript"/>
        </w:rPr>
        <w:t>th</w:t>
      </w:r>
      <w:r w:rsidR="00F221F6"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 w:rsidR="00B85846">
        <w:rPr>
          <w:b/>
          <w:noProof/>
          <w:sz w:val="24"/>
        </w:rPr>
        <w:t>2</w:t>
      </w:r>
      <w:r w:rsidR="001A72CC">
        <w:rPr>
          <w:b/>
          <w:noProof/>
          <w:sz w:val="24"/>
        </w:rPr>
        <w:t>0</w:t>
      </w:r>
      <w:r w:rsidR="001A72CC" w:rsidRPr="001A72CC">
        <w:rPr>
          <w:b/>
          <w:noProof/>
          <w:sz w:val="24"/>
          <w:vertAlign w:val="superscript"/>
        </w:rPr>
        <w:t>th</w:t>
      </w:r>
      <w:r w:rsidR="001A72CC">
        <w:rPr>
          <w:b/>
          <w:noProof/>
          <w:sz w:val="24"/>
        </w:rPr>
        <w:t xml:space="preserve"> April</w:t>
      </w:r>
      <w:r w:rsidR="002A7181">
        <w:rPr>
          <w:b/>
          <w:noProof/>
          <w:sz w:val="24"/>
        </w:rPr>
        <w:t>, 201</w:t>
      </w:r>
      <w:r w:rsidR="008C72F3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1D355FE8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E92767">
        <w:t>Nokia Shanghai Bell</w:t>
      </w:r>
    </w:p>
    <w:p w14:paraId="6A7037A9" w14:textId="281C8AD4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 w:rsidR="00ED46E6">
        <w:tab/>
      </w:r>
      <w:r w:rsidR="00ED46E6">
        <w:tab/>
      </w:r>
      <w:r w:rsidR="00ED46E6">
        <w:tab/>
      </w:r>
      <w:r w:rsidR="00ED46E6">
        <w:tab/>
      </w:r>
      <w:r w:rsidR="009F52E6">
        <w:t>2UL</w:t>
      </w:r>
      <w:r w:rsidR="00E4493A">
        <w:t xml:space="preserve"> </w:t>
      </w:r>
      <w:r w:rsidR="009F52E6">
        <w:t xml:space="preserve">requirement for </w:t>
      </w:r>
      <w:r w:rsidR="00550412">
        <w:t>CA_n257</w:t>
      </w:r>
      <w:r w:rsidR="00EC0B1B">
        <w:t xml:space="preserve"> (CA BW class </w:t>
      </w:r>
      <w:r w:rsidR="004D6788">
        <w:t>f</w:t>
      </w:r>
      <w:r w:rsidR="00EC0B1B">
        <w:t>allback group 3)</w:t>
      </w:r>
    </w:p>
    <w:p w14:paraId="6E143A37" w14:textId="0BE727DC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D6B98" w:rsidRPr="001D6B98">
        <w:t>7.1.3.7.3</w:t>
      </w:r>
    </w:p>
    <w:p w14:paraId="190A386F" w14:textId="2DA8FD66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F6453B">
        <w:t>Approval</w:t>
      </w:r>
    </w:p>
    <w:p w14:paraId="6F46CDCF" w14:textId="4D4A922C" w:rsidR="001A72CC" w:rsidRPr="001A7AE1" w:rsidRDefault="001A72CC" w:rsidP="001A72CC">
      <w:pPr>
        <w:pStyle w:val="Heading1"/>
        <w:tabs>
          <w:tab w:val="num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1 Introduction</w:t>
      </w:r>
    </w:p>
    <w:p w14:paraId="791BDC14" w14:textId="562AF79A" w:rsidR="007A6F1E" w:rsidRDefault="00F6453B" w:rsidP="007A6F1E">
      <w:r>
        <w:t>In this paper we discuss 2UL CA requirement for CA_n257</w:t>
      </w:r>
      <w:r w:rsidR="004D6788">
        <w:t>M and its fallback CAs</w:t>
      </w:r>
      <w:r>
        <w:t>.</w:t>
      </w:r>
    </w:p>
    <w:p w14:paraId="70E376D2" w14:textId="765126EC" w:rsidR="009F52E6" w:rsidRPr="001A7AE1" w:rsidRDefault="0023400B" w:rsidP="009F52E6">
      <w:pPr>
        <w:pStyle w:val="Heading1"/>
        <w:tabs>
          <w:tab w:val="num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2</w:t>
      </w:r>
      <w:r w:rsidR="009F52E6">
        <w:rPr>
          <w:lang w:val="en-US"/>
        </w:rPr>
        <w:t xml:space="preserve"> </w:t>
      </w:r>
      <w:r>
        <w:rPr>
          <w:lang w:val="en-US"/>
        </w:rPr>
        <w:t>Discussion</w:t>
      </w:r>
    </w:p>
    <w:p w14:paraId="6041D4D7" w14:textId="164F9B5B" w:rsidR="00F6453B" w:rsidRDefault="00F6453B" w:rsidP="00F6453B">
      <w:r>
        <w:t xml:space="preserve">The EN-DC combo for LTE band 66 and NR band n257 for the configuration of 1 CC in LTE and 1CC in NR, i.e., DC_66A_n257A, was completed in March [2-5] and now included in TS 38.101-3 [1]. </w:t>
      </w:r>
    </w:p>
    <w:p w14:paraId="588F30B1" w14:textId="1B054353" w:rsidR="00F6453B" w:rsidRDefault="00F6453B" w:rsidP="00F6453B">
      <w:r>
        <w:t xml:space="preserve">The new EN-DC combo work for multiple number of CCs in NR band n257 was agreed in RAN#79 and included in the revised WID of NR work item [6]. </w:t>
      </w:r>
      <w:r w:rsidR="00FE0D54">
        <w:t>For</w:t>
      </w:r>
      <w:r>
        <w:t xml:space="preserve"> the first step</w:t>
      </w:r>
      <w:r w:rsidR="006F628D">
        <w:t xml:space="preserve"> to specify intra-band NR CA requirement for n257</w:t>
      </w:r>
      <w:r>
        <w:t>, the fallback group 3 of countiguous CA is included, which is based on up to 8 carriers of up 100MHz channel bandwidth represented by CA bandwidth class G, H, I, J, K, L, and M for 2, 3, 4, 5, 6, 7, and 8 carriers respectively.</w:t>
      </w:r>
    </w:p>
    <w:p w14:paraId="084BE86C" w14:textId="43A78BB8" w:rsidR="00F6453B" w:rsidRDefault="00F6453B" w:rsidP="00F6453B">
      <w:r>
        <w:t xml:space="preserve">Because of wide aggregated bandwidth in DL in Fallback group 3 up to 800MHz for BW class M, it is crucial to support UL </w:t>
      </w:r>
      <w:r w:rsidR="006F628D">
        <w:t xml:space="preserve">CA becaue </w:t>
      </w:r>
      <w:r>
        <w:t>1 UL</w:t>
      </w:r>
      <w:r w:rsidR="006F628D">
        <w:t xml:space="preserve"> with 100MHz channel bandwidth</w:t>
      </w:r>
      <w:r>
        <w:t xml:space="preserve"> is not expected sufficient to </w:t>
      </w:r>
      <w:r w:rsidR="006F628D">
        <w:t>for</w:t>
      </w:r>
      <w:r>
        <w:t xml:space="preserve"> 8 DL. </w:t>
      </w:r>
    </w:p>
    <w:p w14:paraId="796EEAD5" w14:textId="77777777" w:rsidR="00D35CCF" w:rsidRDefault="00F6453B" w:rsidP="00F6453B">
      <w:pPr>
        <w:rPr>
          <w:b/>
          <w:i/>
        </w:rPr>
      </w:pPr>
      <w:r w:rsidRPr="00F6453B">
        <w:rPr>
          <w:b/>
          <w:i/>
        </w:rPr>
        <w:t>Observation 1: 1 UL is not sufficient for CA BW class M</w:t>
      </w:r>
      <w:r w:rsidR="00D35CCF">
        <w:rPr>
          <w:b/>
          <w:i/>
        </w:rPr>
        <w:t xml:space="preserve"> (8x100MHz).</w:t>
      </w:r>
    </w:p>
    <w:p w14:paraId="097C47FA" w14:textId="6441B524" w:rsidR="00F6453B" w:rsidRPr="00F6453B" w:rsidRDefault="00D35CCF" w:rsidP="00F6453B">
      <w:pPr>
        <w:rPr>
          <w:b/>
          <w:i/>
        </w:rPr>
      </w:pPr>
      <w:r>
        <w:rPr>
          <w:b/>
          <w:i/>
        </w:rPr>
        <w:t xml:space="preserve">Proposal 1: At least </w:t>
      </w:r>
      <w:r w:rsidR="003F7885">
        <w:rPr>
          <w:b/>
          <w:i/>
        </w:rPr>
        <w:t xml:space="preserve">UL </w:t>
      </w:r>
      <w:r>
        <w:rPr>
          <w:b/>
          <w:i/>
        </w:rPr>
        <w:t>CA bandwidth class G (2x100MHz) shall be specified</w:t>
      </w:r>
      <w:r w:rsidR="00B246D7">
        <w:rPr>
          <w:b/>
          <w:i/>
        </w:rPr>
        <w:t xml:space="preserve"> </w:t>
      </w:r>
      <w:r>
        <w:rPr>
          <w:b/>
          <w:i/>
        </w:rPr>
        <w:t>in Rel-15.</w:t>
      </w:r>
    </w:p>
    <w:p w14:paraId="63201CD9" w14:textId="11968DF0" w:rsidR="00F6453B" w:rsidRDefault="00780BC6" w:rsidP="00F6453B">
      <w:r>
        <w:t xml:space="preserve">In the following table, the 2 </w:t>
      </w:r>
      <w:r w:rsidR="00F6453B">
        <w:t xml:space="preserve">UL CA requirement </w:t>
      </w:r>
      <w:r>
        <w:t>that needs to be specified</w:t>
      </w:r>
      <w:r w:rsidR="0000003D">
        <w:t xml:space="preserve"> in </w:t>
      </w:r>
      <w:r w:rsidR="00AF65C0">
        <w:t xml:space="preserve">TS </w:t>
      </w:r>
      <w:r w:rsidR="0000003D">
        <w:t>38.101-2</w:t>
      </w:r>
      <w:r>
        <w:t xml:space="preserve"> are summarized.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780BC6" w14:paraId="7951C699" w14:textId="77777777" w:rsidTr="00D35CCF">
        <w:tc>
          <w:tcPr>
            <w:tcW w:w="2689" w:type="dxa"/>
          </w:tcPr>
          <w:p w14:paraId="05A11F60" w14:textId="15AACBA9" w:rsidR="00780BC6" w:rsidRPr="00D35CCF" w:rsidRDefault="00780BC6" w:rsidP="009F52E6">
            <w:r>
              <w:t>Requirement</w:t>
            </w:r>
          </w:p>
        </w:tc>
        <w:tc>
          <w:tcPr>
            <w:tcW w:w="6940" w:type="dxa"/>
          </w:tcPr>
          <w:p w14:paraId="113D577B" w14:textId="15DD0604" w:rsidR="00780BC6" w:rsidRDefault="00780BC6" w:rsidP="009F52E6">
            <w:r>
              <w:t>analysis</w:t>
            </w:r>
          </w:p>
        </w:tc>
      </w:tr>
      <w:tr w:rsidR="00D35CCF" w14:paraId="57D5306D" w14:textId="77777777" w:rsidTr="00D35CCF">
        <w:tc>
          <w:tcPr>
            <w:tcW w:w="2689" w:type="dxa"/>
          </w:tcPr>
          <w:p w14:paraId="46F3566E" w14:textId="354D65CF" w:rsidR="00D35CCF" w:rsidRDefault="00D35CCF" w:rsidP="009F52E6">
            <w:r w:rsidRPr="00D35CCF">
              <w:t>UE maximum output power</w:t>
            </w:r>
            <w:r>
              <w:t xml:space="preserve"> for CA</w:t>
            </w:r>
          </w:p>
        </w:tc>
        <w:tc>
          <w:tcPr>
            <w:tcW w:w="6940" w:type="dxa"/>
          </w:tcPr>
          <w:p w14:paraId="0047A6C3" w14:textId="55961619" w:rsidR="00D35CCF" w:rsidRDefault="00D35CCF" w:rsidP="009F52E6">
            <w:r>
              <w:t xml:space="preserve">It is reasonable to assume the same maximum output power as 1UL. The power reduction </w:t>
            </w:r>
            <w:r w:rsidR="00107494">
              <w:t xml:space="preserve">specific to 2UL (if any) </w:t>
            </w:r>
            <w:r>
              <w:t>can be included in MPR</w:t>
            </w:r>
            <w:r w:rsidR="009B787F">
              <w:t>.</w:t>
            </w:r>
          </w:p>
        </w:tc>
      </w:tr>
      <w:tr w:rsidR="00D35CCF" w14:paraId="4E783396" w14:textId="77777777" w:rsidTr="00D35CCF">
        <w:tc>
          <w:tcPr>
            <w:tcW w:w="2689" w:type="dxa"/>
          </w:tcPr>
          <w:p w14:paraId="28AF982C" w14:textId="34A6C27F" w:rsidR="00D35CCF" w:rsidRDefault="00D35CCF" w:rsidP="009F52E6">
            <w:r w:rsidRPr="00D35CCF">
              <w:t>UE maximum output power for modulation / channel bandwidth</w:t>
            </w:r>
            <w:r w:rsidR="009B787F">
              <w:t xml:space="preserve"> for CA</w:t>
            </w:r>
          </w:p>
        </w:tc>
        <w:tc>
          <w:tcPr>
            <w:tcW w:w="6940" w:type="dxa"/>
          </w:tcPr>
          <w:p w14:paraId="736D984A" w14:textId="41EE95B0" w:rsidR="00D35CCF" w:rsidRDefault="00D35CCF" w:rsidP="009F52E6">
            <w:r>
              <w:t xml:space="preserve">Although 1 UL MPR is not finalized yet for FR2, we encourage companies to continue to study 2 UL </w:t>
            </w:r>
            <w:r w:rsidR="00C5073C">
              <w:t>cases</w:t>
            </w:r>
            <w:r>
              <w:t xml:space="preserve"> to </w:t>
            </w:r>
            <w:r w:rsidR="007343CE">
              <w:t>comple the requirment</w:t>
            </w:r>
            <w:r>
              <w:t xml:space="preserve"> </w:t>
            </w:r>
            <w:r w:rsidR="00597F5F">
              <w:t>in Rel-15</w:t>
            </w:r>
            <w:r>
              <w:t>.</w:t>
            </w:r>
          </w:p>
        </w:tc>
      </w:tr>
      <w:tr w:rsidR="00D35CCF" w14:paraId="590AFCC3" w14:textId="77777777" w:rsidTr="00D35CCF">
        <w:tc>
          <w:tcPr>
            <w:tcW w:w="2689" w:type="dxa"/>
          </w:tcPr>
          <w:p w14:paraId="745FE020" w14:textId="4519FD2D" w:rsidR="00D35CCF" w:rsidRDefault="00D35CCF" w:rsidP="009F52E6">
            <w:r w:rsidRPr="00D35CCF">
              <w:t>Configured transmitted power</w:t>
            </w:r>
            <w:r>
              <w:t xml:space="preserve"> for CA</w:t>
            </w:r>
          </w:p>
        </w:tc>
        <w:tc>
          <w:tcPr>
            <w:tcW w:w="6940" w:type="dxa"/>
          </w:tcPr>
          <w:p w14:paraId="1D261547" w14:textId="54C875FD" w:rsidR="00D35CCF" w:rsidRDefault="00D35CCF" w:rsidP="009F52E6">
            <w:r>
              <w:t>FFS</w:t>
            </w:r>
          </w:p>
        </w:tc>
      </w:tr>
      <w:tr w:rsidR="00D35CCF" w14:paraId="481BC91D" w14:textId="77777777" w:rsidTr="00D35CCF">
        <w:tc>
          <w:tcPr>
            <w:tcW w:w="2689" w:type="dxa"/>
          </w:tcPr>
          <w:p w14:paraId="158FB8FB" w14:textId="15D9B9D9" w:rsidR="00D35CCF" w:rsidRDefault="00D35CCF" w:rsidP="009F52E6">
            <w:r w:rsidRPr="00D35CCF">
              <w:t>Minimum output power</w:t>
            </w:r>
            <w:r>
              <w:t xml:space="preserve"> for CA</w:t>
            </w:r>
          </w:p>
        </w:tc>
        <w:tc>
          <w:tcPr>
            <w:tcW w:w="6940" w:type="dxa"/>
          </w:tcPr>
          <w:p w14:paraId="45B83D7D" w14:textId="59542A04" w:rsidR="00D35CCF" w:rsidRDefault="00D35CCF" w:rsidP="009F52E6">
            <w:r>
              <w:t>It is reasonable to apply the single carrier requirement for each CC (like done in E-UTRA).</w:t>
            </w:r>
          </w:p>
        </w:tc>
      </w:tr>
      <w:tr w:rsidR="00D35CCF" w14:paraId="18536067" w14:textId="77777777" w:rsidTr="00D35CCF">
        <w:tc>
          <w:tcPr>
            <w:tcW w:w="2689" w:type="dxa"/>
          </w:tcPr>
          <w:p w14:paraId="6CFF3C2B" w14:textId="49D3EE05" w:rsidR="00D35CCF" w:rsidRDefault="00D35CCF" w:rsidP="009F52E6">
            <w:r w:rsidRPr="00D35CCF">
              <w:t>Transmit OFF power</w:t>
            </w:r>
            <w:r>
              <w:t xml:space="preserve"> for CA</w:t>
            </w:r>
          </w:p>
        </w:tc>
        <w:tc>
          <w:tcPr>
            <w:tcW w:w="6940" w:type="dxa"/>
          </w:tcPr>
          <w:p w14:paraId="16B42746" w14:textId="20DF2A2B" w:rsidR="00D35CCF" w:rsidRDefault="008E2C44" w:rsidP="009F52E6">
            <w:r>
              <w:t>It is reasonable to apply the single carrier requirement for each CC (like done in E-UTRA).</w:t>
            </w:r>
          </w:p>
        </w:tc>
      </w:tr>
      <w:tr w:rsidR="00D35CCF" w14:paraId="55B6134C" w14:textId="77777777" w:rsidTr="00D35CCF">
        <w:tc>
          <w:tcPr>
            <w:tcW w:w="2689" w:type="dxa"/>
          </w:tcPr>
          <w:p w14:paraId="51A61D31" w14:textId="471232BC" w:rsidR="00D35CCF" w:rsidRDefault="00D35CCF" w:rsidP="009F52E6">
            <w:r w:rsidRPr="00D35CCF">
              <w:lastRenderedPageBreak/>
              <w:t>Transmit ON/OFF time mask</w:t>
            </w:r>
          </w:p>
        </w:tc>
        <w:tc>
          <w:tcPr>
            <w:tcW w:w="6940" w:type="dxa"/>
          </w:tcPr>
          <w:p w14:paraId="6CBACF78" w14:textId="3282FBD0" w:rsidR="00D35CCF" w:rsidRDefault="008E2C44" w:rsidP="009F52E6">
            <w:r>
              <w:t>It is reasonable to apply the single carrier requirement for each CC (like done in E-UTRA).</w:t>
            </w:r>
          </w:p>
        </w:tc>
      </w:tr>
      <w:tr w:rsidR="00D35CCF" w14:paraId="3F088B2B" w14:textId="77777777" w:rsidTr="00D35CCF">
        <w:tc>
          <w:tcPr>
            <w:tcW w:w="2689" w:type="dxa"/>
          </w:tcPr>
          <w:p w14:paraId="450F293E" w14:textId="7920FCE5" w:rsidR="00D35CCF" w:rsidRDefault="009C0FE1" w:rsidP="009F52E6">
            <w:r>
              <w:t xml:space="preserve">Frequency Error for CA </w:t>
            </w:r>
          </w:p>
        </w:tc>
        <w:tc>
          <w:tcPr>
            <w:tcW w:w="6940" w:type="dxa"/>
          </w:tcPr>
          <w:p w14:paraId="71AE192B" w14:textId="20DC292D" w:rsidR="00D35CCF" w:rsidRDefault="008E2C44" w:rsidP="009F52E6">
            <w:r>
              <w:t>It is reasonable to apply the single carrier requirement for each CC (like done in E-UTRA).</w:t>
            </w:r>
          </w:p>
        </w:tc>
      </w:tr>
      <w:tr w:rsidR="00D35CCF" w14:paraId="6C264B5F" w14:textId="77777777" w:rsidTr="00D35CCF">
        <w:tc>
          <w:tcPr>
            <w:tcW w:w="2689" w:type="dxa"/>
          </w:tcPr>
          <w:p w14:paraId="45CFD6E6" w14:textId="06E7517E" w:rsidR="00D35CCF" w:rsidRDefault="009C0FE1" w:rsidP="009F52E6">
            <w:r w:rsidRPr="009C0FE1">
              <w:t>Transmit modulation quality</w:t>
            </w:r>
            <w:r>
              <w:t xml:space="preserve"> for CA</w:t>
            </w:r>
          </w:p>
        </w:tc>
        <w:tc>
          <w:tcPr>
            <w:tcW w:w="6940" w:type="dxa"/>
          </w:tcPr>
          <w:p w14:paraId="51740D12" w14:textId="5440DC2A" w:rsidR="006C1FE7" w:rsidRDefault="006C1FE7" w:rsidP="008E2C44">
            <w:r>
              <w:t>The carrier leakge and inband emission is already included in TS36.101-2</w:t>
            </w:r>
            <w:r w:rsidR="00DA6622">
              <w:t xml:space="preserve"> 6.4A.</w:t>
            </w:r>
            <w:r>
              <w:t xml:space="preserve"> This sh</w:t>
            </w:r>
            <w:r w:rsidR="00DA6622">
              <w:t>ould be further checked as this part was not reviewed properly.</w:t>
            </w:r>
            <w:r w:rsidR="00624005">
              <w:t xml:space="preserve"> EVM requirement should be per CC basis.</w:t>
            </w:r>
          </w:p>
        </w:tc>
      </w:tr>
      <w:tr w:rsidR="009C0FE1" w14:paraId="0AB01D49" w14:textId="77777777" w:rsidTr="00D35CCF">
        <w:tc>
          <w:tcPr>
            <w:tcW w:w="2689" w:type="dxa"/>
          </w:tcPr>
          <w:p w14:paraId="130504E3" w14:textId="73CEDA2F" w:rsidR="009C0FE1" w:rsidRPr="009C0FE1" w:rsidRDefault="009C0FE1" w:rsidP="009F52E6">
            <w:r w:rsidRPr="009C0FE1">
              <w:t>Occupied bandwidth</w:t>
            </w:r>
            <w:r>
              <w:t xml:space="preserve"> for CA</w:t>
            </w:r>
          </w:p>
        </w:tc>
        <w:tc>
          <w:tcPr>
            <w:tcW w:w="6940" w:type="dxa"/>
          </w:tcPr>
          <w:p w14:paraId="429935C2" w14:textId="1F546D36" w:rsidR="009C0FE1" w:rsidRDefault="00EE6B5D" w:rsidP="009F52E6">
            <w:r>
              <w:t>The occupied bandwidth shall be based on the aggregated bandwidth</w:t>
            </w:r>
            <w:r w:rsidR="006E53A8">
              <w:t>.</w:t>
            </w:r>
          </w:p>
        </w:tc>
      </w:tr>
      <w:tr w:rsidR="009C0FE1" w14:paraId="12FD5ACB" w14:textId="77777777" w:rsidTr="00D35CCF">
        <w:tc>
          <w:tcPr>
            <w:tcW w:w="2689" w:type="dxa"/>
          </w:tcPr>
          <w:p w14:paraId="216029C7" w14:textId="168F3D55" w:rsidR="009C0FE1" w:rsidRPr="009C0FE1" w:rsidRDefault="009C0FE1" w:rsidP="009F52E6">
            <w:r w:rsidRPr="009C0FE1">
              <w:t>Spectrum emission mask</w:t>
            </w:r>
            <w:r>
              <w:t xml:space="preserve"> for CA</w:t>
            </w:r>
          </w:p>
        </w:tc>
        <w:tc>
          <w:tcPr>
            <w:tcW w:w="6940" w:type="dxa"/>
          </w:tcPr>
          <w:p w14:paraId="1C989504" w14:textId="0136FA62" w:rsidR="009C0FE1" w:rsidRDefault="00EE6B5D" w:rsidP="009F52E6">
            <w:r>
              <w:t xml:space="preserve">The OOB boundary </w:t>
            </w:r>
            <w:r w:rsidR="006E53A8">
              <w:t>is already based on SM.329. 250% rule should be based on the aggregated bandwidth.</w:t>
            </w:r>
          </w:p>
          <w:p w14:paraId="146E5D95" w14:textId="51057550" w:rsidR="006E53A8" w:rsidRDefault="006E53A8" w:rsidP="009F52E6">
            <w:r>
              <w:t>We introduced NR CA for FR2 to ease the implementation issues. The unwanted emission should still follow the same requirement as the corresponding single carrier requiremenet.</w:t>
            </w:r>
          </w:p>
          <w:p w14:paraId="012F69E0" w14:textId="2697D058" w:rsidR="00A454E4" w:rsidRDefault="00A454E4" w:rsidP="009F52E6">
            <w:r>
              <w:t xml:space="preserve">For example, the </w:t>
            </w:r>
            <w:r w:rsidR="006E53A8">
              <w:t>emission mask</w:t>
            </w:r>
            <w:r>
              <w:t xml:space="preserve"> for 200MHz single carrier </w:t>
            </w:r>
            <w:r w:rsidR="006E53A8">
              <w:t>should be reused to NR CA</w:t>
            </w:r>
            <w:r>
              <w:t xml:space="preserve"> </w:t>
            </w:r>
            <w:r w:rsidR="006E53A8">
              <w:t>2</w:t>
            </w:r>
            <w:r>
              <w:t>x100MHz</w:t>
            </w:r>
            <w:r w:rsidR="006E53A8">
              <w:t xml:space="preserve"> (CA BW class G) based on the aggregated channel bandwidth.</w:t>
            </w:r>
          </w:p>
        </w:tc>
      </w:tr>
      <w:tr w:rsidR="009C0FE1" w14:paraId="53BFCD00" w14:textId="77777777" w:rsidTr="00D35CCF">
        <w:tc>
          <w:tcPr>
            <w:tcW w:w="2689" w:type="dxa"/>
          </w:tcPr>
          <w:p w14:paraId="6146D25F" w14:textId="6A725326" w:rsidR="009C0FE1" w:rsidRPr="009C0FE1" w:rsidRDefault="009C0FE1" w:rsidP="009F52E6">
            <w:r w:rsidRPr="009C0FE1">
              <w:t>Adjacent Channel Leakage Ratio</w:t>
            </w:r>
            <w:r>
              <w:t xml:space="preserve"> for CA</w:t>
            </w:r>
          </w:p>
        </w:tc>
        <w:tc>
          <w:tcPr>
            <w:tcW w:w="6940" w:type="dxa"/>
          </w:tcPr>
          <w:p w14:paraId="143FC890" w14:textId="51B2C368" w:rsidR="006E53A8" w:rsidRDefault="006E53A8" w:rsidP="006E53A8">
            <w:r>
              <w:t>We introduced NR CA for FR2 to ease the implementation issues. The coexistence requirement should still follow the same requirement as the corresponding single carrier requiremenet.</w:t>
            </w:r>
          </w:p>
          <w:p w14:paraId="750173AE" w14:textId="4FDF6124" w:rsidR="009C0FE1" w:rsidRDefault="006E53A8" w:rsidP="006E53A8">
            <w:r>
              <w:t>For example, ACLR for 200MHz single carrier should be reused to NR CA 2x100MHz (CA BW class G) based on the aggregated channel bandwidth.</w:t>
            </w:r>
          </w:p>
        </w:tc>
      </w:tr>
      <w:tr w:rsidR="009C0FE1" w14:paraId="0A913B61" w14:textId="77777777" w:rsidTr="00D35CCF">
        <w:tc>
          <w:tcPr>
            <w:tcW w:w="2689" w:type="dxa"/>
          </w:tcPr>
          <w:p w14:paraId="00285D55" w14:textId="510775B7" w:rsidR="009C0FE1" w:rsidRPr="009C0FE1" w:rsidRDefault="009C0FE1" w:rsidP="009F52E6">
            <w:r w:rsidRPr="009C0FE1">
              <w:t>Spurious emissions</w:t>
            </w:r>
            <w:r>
              <w:t xml:space="preserve"> for CA</w:t>
            </w:r>
          </w:p>
        </w:tc>
        <w:tc>
          <w:tcPr>
            <w:tcW w:w="6940" w:type="dxa"/>
          </w:tcPr>
          <w:p w14:paraId="187235BD" w14:textId="77777777" w:rsidR="006E53A8" w:rsidRDefault="006E53A8" w:rsidP="006E53A8">
            <w:r>
              <w:t>The OOB boundary is already based on SM.329. 250% rule should be based on the aggregated bandwidth.</w:t>
            </w:r>
          </w:p>
          <w:p w14:paraId="708461F5" w14:textId="77777777" w:rsidR="006E53A8" w:rsidRDefault="006E53A8" w:rsidP="006E53A8">
            <w:r>
              <w:t>We introduced NR CA for FR2 to ease the implementation issues. The unwanted emission should still follow the same requirement as the corresponding single carrier requiremenet.</w:t>
            </w:r>
          </w:p>
          <w:p w14:paraId="279141AC" w14:textId="3A9BC40E" w:rsidR="009C0FE1" w:rsidRDefault="006E53A8" w:rsidP="006E53A8">
            <w:r>
              <w:t>For example, the spurious emissions for 200MHz single carrier should be reused to NR CA 2x100MHz (CA BW class G) based on the aggregated channel bandwidth.</w:t>
            </w:r>
          </w:p>
        </w:tc>
      </w:tr>
    </w:tbl>
    <w:p w14:paraId="2485EE00" w14:textId="77777777" w:rsidR="00F6453B" w:rsidRDefault="00F6453B" w:rsidP="009F52E6"/>
    <w:p w14:paraId="2C3D8F02" w14:textId="78C4411D" w:rsidR="009F52E6" w:rsidRPr="006C1FE7" w:rsidRDefault="006C1FE7" w:rsidP="009F52E6">
      <w:pPr>
        <w:rPr>
          <w:b/>
          <w:i/>
        </w:rPr>
      </w:pPr>
      <w:r w:rsidRPr="006C1FE7">
        <w:rPr>
          <w:b/>
          <w:i/>
        </w:rPr>
        <w:t>Proposa</w:t>
      </w:r>
      <w:r>
        <w:rPr>
          <w:b/>
          <w:i/>
        </w:rPr>
        <w:t>l 2</w:t>
      </w:r>
      <w:r w:rsidRPr="006C1FE7">
        <w:rPr>
          <w:b/>
          <w:i/>
        </w:rPr>
        <w:t xml:space="preserve">: For Minimum output power, Transmit OFF power, ON/OFF time mask, </w:t>
      </w:r>
      <w:r w:rsidR="00624005">
        <w:rPr>
          <w:b/>
          <w:i/>
        </w:rPr>
        <w:t xml:space="preserve">EVM, </w:t>
      </w:r>
      <w:r w:rsidRPr="006C1FE7">
        <w:rPr>
          <w:b/>
          <w:i/>
        </w:rPr>
        <w:t xml:space="preserve">and Frequency Error, the requirement for </w:t>
      </w:r>
      <w:r>
        <w:rPr>
          <w:b/>
          <w:i/>
        </w:rPr>
        <w:t xml:space="preserve">UL </w:t>
      </w:r>
      <w:r w:rsidRPr="006C1FE7">
        <w:rPr>
          <w:b/>
          <w:i/>
        </w:rPr>
        <w:t>CA is per CC basis.</w:t>
      </w:r>
    </w:p>
    <w:p w14:paraId="11CD65C2" w14:textId="77777777" w:rsidR="006C1FE7" w:rsidRDefault="006C1FE7" w:rsidP="006C1FE7">
      <w:pPr>
        <w:rPr>
          <w:b/>
          <w:i/>
        </w:rPr>
      </w:pPr>
      <w:r w:rsidRPr="006C1FE7">
        <w:rPr>
          <w:b/>
          <w:i/>
        </w:rPr>
        <w:t>Proposa</w:t>
      </w:r>
      <w:r>
        <w:rPr>
          <w:b/>
          <w:i/>
        </w:rPr>
        <w:t>l 3</w:t>
      </w:r>
      <w:r w:rsidRPr="006C1FE7">
        <w:rPr>
          <w:b/>
          <w:i/>
        </w:rPr>
        <w:t xml:space="preserve">: For </w:t>
      </w:r>
      <w:r>
        <w:rPr>
          <w:b/>
          <w:i/>
        </w:rPr>
        <w:t>occupied bandwidth, emission mask, ACLR, and Spurious emsison, the requirement for UL CA is per aggregated bandwidth basis.</w:t>
      </w:r>
    </w:p>
    <w:p w14:paraId="2B18AAF3" w14:textId="454A43BB" w:rsidR="006E53A8" w:rsidRDefault="006E53A8" w:rsidP="006E53A8">
      <w:pPr>
        <w:rPr>
          <w:b/>
          <w:i/>
        </w:rPr>
      </w:pPr>
      <w:r>
        <w:rPr>
          <w:b/>
          <w:i/>
        </w:rPr>
        <w:t>Observation 2</w:t>
      </w:r>
      <w:r w:rsidRPr="006C1FE7">
        <w:rPr>
          <w:b/>
          <w:i/>
        </w:rPr>
        <w:t xml:space="preserve">: </w:t>
      </w:r>
      <w:r w:rsidR="008263A4">
        <w:rPr>
          <w:b/>
          <w:i/>
        </w:rPr>
        <w:t>Furth</w:t>
      </w:r>
      <w:r>
        <w:rPr>
          <w:b/>
          <w:i/>
        </w:rPr>
        <w:t>er analysis on 2UL MPR</w:t>
      </w:r>
      <w:r w:rsidR="008B33A3">
        <w:rPr>
          <w:b/>
          <w:i/>
        </w:rPr>
        <w:t xml:space="preserve"> requirement is needed.</w:t>
      </w:r>
    </w:p>
    <w:p w14:paraId="7C964548" w14:textId="50D4F5C0" w:rsidR="001A72CC" w:rsidRDefault="001A72CC">
      <w:pPr>
        <w:rPr>
          <w:rFonts w:ascii="Arial" w:hAnsi="Arial" w:cs="Arial"/>
          <w:b/>
          <w:sz w:val="24"/>
          <w:szCs w:val="24"/>
        </w:rPr>
      </w:pPr>
    </w:p>
    <w:p w14:paraId="2524CDAC" w14:textId="0C77F167" w:rsidR="0023400B" w:rsidRDefault="0023400B" w:rsidP="0023400B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lastRenderedPageBreak/>
        <w:t>2 Conclusion</w:t>
      </w:r>
    </w:p>
    <w:p w14:paraId="7074B07E" w14:textId="06FF24FE" w:rsidR="00E422AD" w:rsidRPr="00E422AD" w:rsidRDefault="00E422AD" w:rsidP="00E422AD">
      <w:pPr>
        <w:rPr>
          <w:lang w:eastAsia="en-US"/>
        </w:rPr>
      </w:pPr>
      <w:r>
        <w:rPr>
          <w:lang w:eastAsia="en-US"/>
        </w:rPr>
        <w:t>In this paper UL CA requirement for n257 has been discussed. The conclusions are summarized in the following.</w:t>
      </w:r>
    </w:p>
    <w:p w14:paraId="589BB224" w14:textId="77777777" w:rsidR="003F7885" w:rsidRDefault="003F7885" w:rsidP="003F7885">
      <w:pPr>
        <w:rPr>
          <w:b/>
          <w:i/>
        </w:rPr>
      </w:pPr>
      <w:r w:rsidRPr="00F6453B">
        <w:rPr>
          <w:b/>
          <w:i/>
        </w:rPr>
        <w:t>Observation 1: 1 UL is not sufficient for CA BW class M</w:t>
      </w:r>
      <w:r>
        <w:rPr>
          <w:b/>
          <w:i/>
        </w:rPr>
        <w:t xml:space="preserve"> (8x100MHz).</w:t>
      </w:r>
    </w:p>
    <w:p w14:paraId="680DF43B" w14:textId="77777777" w:rsidR="003F7885" w:rsidRPr="00F6453B" w:rsidRDefault="003F7885" w:rsidP="003F7885">
      <w:pPr>
        <w:rPr>
          <w:b/>
          <w:i/>
        </w:rPr>
      </w:pPr>
      <w:r>
        <w:rPr>
          <w:b/>
          <w:i/>
        </w:rPr>
        <w:t>Proposal 1: At least UL CA bandwidth class G (2x100MHz) shall be specified in Rel-15.</w:t>
      </w:r>
    </w:p>
    <w:p w14:paraId="4727D824" w14:textId="77777777" w:rsidR="002A67DF" w:rsidRPr="006C1FE7" w:rsidRDefault="002A67DF" w:rsidP="002A67DF">
      <w:pPr>
        <w:rPr>
          <w:b/>
          <w:i/>
        </w:rPr>
      </w:pPr>
      <w:r w:rsidRPr="006C1FE7">
        <w:rPr>
          <w:b/>
          <w:i/>
        </w:rPr>
        <w:t>Proposa</w:t>
      </w:r>
      <w:r>
        <w:rPr>
          <w:b/>
          <w:i/>
        </w:rPr>
        <w:t>l 2</w:t>
      </w:r>
      <w:r w:rsidRPr="006C1FE7">
        <w:rPr>
          <w:b/>
          <w:i/>
        </w:rPr>
        <w:t xml:space="preserve">: For Minimum output power, Transmit OFF power, ON/OFF time mask, </w:t>
      </w:r>
      <w:r>
        <w:rPr>
          <w:b/>
          <w:i/>
        </w:rPr>
        <w:t xml:space="preserve">EVM, </w:t>
      </w:r>
      <w:r w:rsidRPr="006C1FE7">
        <w:rPr>
          <w:b/>
          <w:i/>
        </w:rPr>
        <w:t xml:space="preserve">and Frequency Error, the requirement for </w:t>
      </w:r>
      <w:r>
        <w:rPr>
          <w:b/>
          <w:i/>
        </w:rPr>
        <w:t xml:space="preserve">UL </w:t>
      </w:r>
      <w:r w:rsidRPr="006C1FE7">
        <w:rPr>
          <w:b/>
          <w:i/>
        </w:rPr>
        <w:t>CA is per CC basis.</w:t>
      </w:r>
    </w:p>
    <w:p w14:paraId="5E9BA741" w14:textId="77777777" w:rsidR="002A67DF" w:rsidRDefault="002A67DF" w:rsidP="002A67DF">
      <w:pPr>
        <w:rPr>
          <w:b/>
          <w:i/>
        </w:rPr>
      </w:pPr>
      <w:r w:rsidRPr="006C1FE7">
        <w:rPr>
          <w:b/>
          <w:i/>
        </w:rPr>
        <w:t>Proposa</w:t>
      </w:r>
      <w:r>
        <w:rPr>
          <w:b/>
          <w:i/>
        </w:rPr>
        <w:t>l 3</w:t>
      </w:r>
      <w:r w:rsidRPr="006C1FE7">
        <w:rPr>
          <w:b/>
          <w:i/>
        </w:rPr>
        <w:t xml:space="preserve">: For </w:t>
      </w:r>
      <w:r>
        <w:rPr>
          <w:b/>
          <w:i/>
        </w:rPr>
        <w:t>occupied bandwidth, emission mask, ACLR, and Spurious emsison, the requirement for UL CA is per aggregated bandwidth basis.</w:t>
      </w:r>
    </w:p>
    <w:p w14:paraId="146C6213" w14:textId="77777777" w:rsidR="002A67DF" w:rsidRDefault="002A67DF" w:rsidP="002A67DF">
      <w:pPr>
        <w:rPr>
          <w:b/>
          <w:i/>
        </w:rPr>
      </w:pPr>
      <w:r>
        <w:rPr>
          <w:b/>
          <w:i/>
        </w:rPr>
        <w:t>Observation 2</w:t>
      </w:r>
      <w:r w:rsidRPr="006C1FE7">
        <w:rPr>
          <w:b/>
          <w:i/>
        </w:rPr>
        <w:t xml:space="preserve">: </w:t>
      </w:r>
      <w:r>
        <w:rPr>
          <w:b/>
          <w:i/>
        </w:rPr>
        <w:t>Further analysis on 2UL MPR requirement is needed.</w:t>
      </w:r>
    </w:p>
    <w:p w14:paraId="02869ABB" w14:textId="6D3C4026" w:rsidR="001A72CC" w:rsidRPr="001A7AE1" w:rsidRDefault="0023400B" w:rsidP="001A72CC">
      <w:pPr>
        <w:pStyle w:val="Heading1"/>
        <w:tabs>
          <w:tab w:val="num" w:pos="522"/>
        </w:tabs>
        <w:ind w:left="522" w:hanging="522"/>
        <w:rPr>
          <w:color w:val="000000"/>
          <w:lang w:val="en-US"/>
        </w:rPr>
      </w:pPr>
      <w:bookmarkStart w:id="0" w:name="_GoBack"/>
      <w:bookmarkEnd w:id="0"/>
      <w:r>
        <w:rPr>
          <w:lang w:val="en-US"/>
        </w:rPr>
        <w:t>3</w:t>
      </w:r>
      <w:r w:rsidR="001A72CC">
        <w:rPr>
          <w:lang w:val="en-US"/>
        </w:rPr>
        <w:t xml:space="preserve"> </w:t>
      </w:r>
      <w:r>
        <w:rPr>
          <w:lang w:val="en-US"/>
        </w:rPr>
        <w:t>Reference</w:t>
      </w:r>
    </w:p>
    <w:p w14:paraId="504775AF" w14:textId="6A49B3BC" w:rsidR="00194C99" w:rsidRPr="00AF17D1" w:rsidRDefault="00194C99" w:rsidP="001A72CC">
      <w:pPr>
        <w:rPr>
          <w:rFonts w:cstheme="minorHAnsi"/>
        </w:rPr>
      </w:pPr>
      <w:r>
        <w:rPr>
          <w:rFonts w:cstheme="minorHAnsi"/>
        </w:rPr>
        <w:t xml:space="preserve">[1] TS 38.101-3 ver 15.1.0 </w:t>
      </w:r>
      <w:r w:rsidRPr="00194C99">
        <w:rPr>
          <w:rFonts w:cstheme="minorHAnsi"/>
        </w:rPr>
        <w:t>NR; User Equipment (UE) radio transmission and reception; Part 3: Range 1 and Range 2 Interworking operation with other radios</w:t>
      </w:r>
    </w:p>
    <w:p w14:paraId="0B87DB30" w14:textId="7FC6E57D" w:rsidR="00AF17D1" w:rsidRPr="00AF17D1" w:rsidRDefault="0023400B" w:rsidP="00AF17D1">
      <w:pPr>
        <w:spacing w:after="120"/>
        <w:ind w:left="1985" w:hanging="1985"/>
        <w:rPr>
          <w:rFonts w:cstheme="minorHAnsi"/>
          <w:color w:val="000000"/>
          <w:lang w:val="en-GB" w:eastAsia="zh-CN"/>
        </w:rPr>
      </w:pPr>
      <w:r w:rsidRPr="00AF17D1">
        <w:rPr>
          <w:rFonts w:cstheme="minorHAnsi"/>
        </w:rPr>
        <w:t>[</w:t>
      </w:r>
      <w:r w:rsidR="00EC0B1B">
        <w:rPr>
          <w:rFonts w:cstheme="minorHAnsi"/>
        </w:rPr>
        <w:t>2</w:t>
      </w:r>
      <w:r w:rsidRPr="00AF17D1">
        <w:rPr>
          <w:rFonts w:cstheme="minorHAnsi"/>
        </w:rPr>
        <w:t xml:space="preserve">] </w:t>
      </w:r>
      <w:r w:rsidR="00AF17D1" w:rsidRPr="00AF17D1">
        <w:rPr>
          <w:rFonts w:cstheme="minorHAnsi"/>
        </w:rPr>
        <w:t xml:space="preserve">R4-1710850 </w:t>
      </w:r>
      <w:r w:rsidR="00AF17D1" w:rsidRPr="00AF17D1">
        <w:rPr>
          <w:rFonts w:cstheme="minorHAnsi"/>
          <w:color w:val="000000"/>
        </w:rPr>
        <w:t>TP for TR 37.863-01-01 DC_66A-n257A</w:t>
      </w:r>
      <w:r w:rsidR="00AF17D1">
        <w:rPr>
          <w:rFonts w:cstheme="minorHAnsi"/>
          <w:color w:val="000000"/>
          <w:lang w:val="en-GB" w:eastAsia="zh-CN"/>
        </w:rPr>
        <w:t>, Ericsson, T-Mobile USA</w:t>
      </w:r>
    </w:p>
    <w:p w14:paraId="449522F9" w14:textId="2E4F4FE3" w:rsidR="00AF17D1" w:rsidRPr="00AF17D1" w:rsidRDefault="00AF17D1" w:rsidP="00AF17D1">
      <w:pPr>
        <w:spacing w:after="120"/>
        <w:ind w:left="1985" w:hanging="1985"/>
        <w:rPr>
          <w:rFonts w:cstheme="minorHAnsi"/>
          <w:color w:val="000000"/>
        </w:rPr>
      </w:pPr>
      <w:r w:rsidRPr="00AF17D1">
        <w:rPr>
          <w:rFonts w:cstheme="minorHAnsi"/>
          <w:color w:val="000000"/>
          <w:lang w:val="en-GB" w:eastAsia="zh-CN"/>
        </w:rPr>
        <w:t>[</w:t>
      </w:r>
      <w:r w:rsidR="00EC0B1B">
        <w:rPr>
          <w:rFonts w:cstheme="minorHAnsi"/>
          <w:color w:val="000000"/>
          <w:lang w:val="en-GB" w:eastAsia="zh-CN"/>
        </w:rPr>
        <w:t>3</w:t>
      </w:r>
      <w:r w:rsidRPr="00AF17D1">
        <w:rPr>
          <w:rFonts w:cstheme="minorHAnsi"/>
          <w:color w:val="000000"/>
          <w:lang w:val="en-GB" w:eastAsia="zh-CN"/>
        </w:rPr>
        <w:t xml:space="preserve">] R4-1712422 </w:t>
      </w:r>
      <w:r w:rsidRPr="00AF17D1">
        <w:rPr>
          <w:rFonts w:cstheme="minorHAnsi"/>
          <w:color w:val="000000"/>
        </w:rPr>
        <w:t>TP for TR 37.863-01-01 DC_66A_n257A</w:t>
      </w:r>
      <w:r>
        <w:rPr>
          <w:rFonts w:cstheme="minorHAnsi"/>
          <w:color w:val="000000"/>
        </w:rPr>
        <w:t>,</w:t>
      </w:r>
      <w:r w:rsidRPr="00AF17D1">
        <w:rPr>
          <w:rFonts w:cstheme="minorHAnsi"/>
          <w:color w:val="000000"/>
          <w:lang w:val="en-GB" w:eastAsia="zh-CN"/>
        </w:rPr>
        <w:t xml:space="preserve"> </w:t>
      </w:r>
      <w:r>
        <w:rPr>
          <w:rFonts w:cstheme="minorHAnsi"/>
          <w:color w:val="000000"/>
          <w:lang w:val="en-GB" w:eastAsia="zh-CN"/>
        </w:rPr>
        <w:t>Ericsson, T-Mobile USA</w:t>
      </w:r>
    </w:p>
    <w:p w14:paraId="36F61D9F" w14:textId="4988DC12" w:rsidR="001A72CC" w:rsidRPr="00AF17D1" w:rsidRDefault="00AF17D1">
      <w:pPr>
        <w:rPr>
          <w:rFonts w:cstheme="minorHAnsi"/>
        </w:rPr>
      </w:pPr>
      <w:r w:rsidRPr="00AF17D1">
        <w:rPr>
          <w:rFonts w:cstheme="minorHAnsi"/>
          <w:color w:val="000000"/>
          <w:lang w:val="en-GB" w:eastAsia="zh-CN"/>
        </w:rPr>
        <w:t>[</w:t>
      </w:r>
      <w:r w:rsidR="00EC0B1B">
        <w:rPr>
          <w:rFonts w:cstheme="minorHAnsi"/>
          <w:color w:val="000000"/>
          <w:lang w:val="en-GB" w:eastAsia="zh-CN"/>
        </w:rPr>
        <w:t>4</w:t>
      </w:r>
      <w:r w:rsidRPr="00AF17D1">
        <w:rPr>
          <w:rFonts w:cstheme="minorHAnsi"/>
          <w:color w:val="000000"/>
          <w:lang w:val="en-GB" w:eastAsia="zh-CN"/>
        </w:rPr>
        <w:t xml:space="preserve">] </w:t>
      </w:r>
      <w:r w:rsidRPr="00AF17D1">
        <w:rPr>
          <w:rFonts w:cstheme="minorHAnsi"/>
        </w:rPr>
        <w:t>R4-1801127 TP to TR 37.863-01-01: protected bands for DC_66A_n257A</w:t>
      </w:r>
      <w:r>
        <w:rPr>
          <w:rFonts w:cstheme="minorHAnsi"/>
        </w:rPr>
        <w:t xml:space="preserve">, </w:t>
      </w:r>
      <w:r>
        <w:rPr>
          <w:rFonts w:cstheme="minorHAnsi"/>
          <w:color w:val="000000"/>
          <w:lang w:val="en-GB" w:eastAsia="zh-CN"/>
        </w:rPr>
        <w:t>Ericsson, T-Mobile USA</w:t>
      </w:r>
    </w:p>
    <w:p w14:paraId="6E713FC0" w14:textId="287B5DA5" w:rsidR="007A6F1E" w:rsidRDefault="00AF17D1">
      <w:pPr>
        <w:rPr>
          <w:rFonts w:cstheme="minorHAnsi"/>
          <w:color w:val="000000"/>
        </w:rPr>
      </w:pPr>
      <w:r w:rsidRPr="00AF17D1">
        <w:rPr>
          <w:rFonts w:cstheme="minorHAnsi"/>
        </w:rPr>
        <w:t>[</w:t>
      </w:r>
      <w:r w:rsidR="00EC0B1B">
        <w:rPr>
          <w:rFonts w:cstheme="minorHAnsi"/>
        </w:rPr>
        <w:t>5</w:t>
      </w:r>
      <w:r w:rsidRPr="00AF17D1">
        <w:rPr>
          <w:rFonts w:cstheme="minorHAnsi"/>
        </w:rPr>
        <w:t xml:space="preserve">] R4-1801876 </w:t>
      </w:r>
      <w:r w:rsidRPr="00AF17D1">
        <w:rPr>
          <w:rFonts w:cstheme="minorHAnsi"/>
          <w:color w:val="000000"/>
        </w:rPr>
        <w:t>TP to TR 37.863-01-01: protected bands for DC_66A_n257A</w:t>
      </w:r>
      <w:r>
        <w:rPr>
          <w:rFonts w:cstheme="minorHAnsi"/>
          <w:color w:val="000000"/>
        </w:rPr>
        <w:t xml:space="preserve">, </w:t>
      </w:r>
      <w:r>
        <w:rPr>
          <w:rFonts w:cstheme="minorHAnsi"/>
          <w:color w:val="000000"/>
          <w:lang w:val="en-GB" w:eastAsia="zh-CN"/>
        </w:rPr>
        <w:t>Ericsson, T-Mobile USA</w:t>
      </w:r>
    </w:p>
    <w:p w14:paraId="699177FA" w14:textId="4A9B5CAA" w:rsidR="00EC0B1B" w:rsidRDefault="00EC0B1B" w:rsidP="00EC0B1B">
      <w:pPr>
        <w:rPr>
          <w:rFonts w:cstheme="minorHAnsi"/>
        </w:rPr>
      </w:pPr>
      <w:r>
        <w:rPr>
          <w:rFonts w:cstheme="minorHAnsi"/>
        </w:rPr>
        <w:t>[6] RP-180536</w:t>
      </w:r>
      <w:r w:rsidRPr="00194C99">
        <w:t xml:space="preserve"> </w:t>
      </w:r>
      <w:r w:rsidRPr="00194C99">
        <w:rPr>
          <w:rFonts w:cstheme="minorHAnsi"/>
        </w:rPr>
        <w:t>Revised WID on New Radio Access Technology</w:t>
      </w:r>
      <w:r>
        <w:rPr>
          <w:rFonts w:cstheme="minorHAnsi"/>
        </w:rPr>
        <w:t>, NTT DOCOMO</w:t>
      </w:r>
    </w:p>
    <w:p w14:paraId="2D9F5973" w14:textId="0F706213" w:rsidR="000F3D72" w:rsidRPr="00AF17D1" w:rsidRDefault="000F3D72" w:rsidP="000F3D72">
      <w:pPr>
        <w:rPr>
          <w:rFonts w:cstheme="minorHAnsi"/>
        </w:rPr>
      </w:pPr>
      <w:r>
        <w:rPr>
          <w:rFonts w:cstheme="minorHAnsi"/>
        </w:rPr>
        <w:t xml:space="preserve">[7] TS 38.101-2 ver 15.1.0 </w:t>
      </w:r>
      <w:r w:rsidRPr="000F3D72">
        <w:rPr>
          <w:rFonts w:cstheme="minorHAnsi"/>
        </w:rPr>
        <w:t>NR; User Equipment (UE) radio transmission and reception; Part 2: Range 2 Standalone</w:t>
      </w:r>
    </w:p>
    <w:p w14:paraId="1E530630" w14:textId="2E13EC14" w:rsidR="00AF17D1" w:rsidRPr="00AF17D1" w:rsidRDefault="00AF17D1" w:rsidP="00EC0B1B">
      <w:pPr>
        <w:rPr>
          <w:rFonts w:cstheme="minorHAnsi"/>
        </w:rPr>
      </w:pPr>
    </w:p>
    <w:sectPr w:rsidR="00AF17D1" w:rsidRPr="00AF17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44FE0" w14:textId="77777777" w:rsidR="00D2576B" w:rsidRDefault="00D2576B" w:rsidP="002B3503">
      <w:pPr>
        <w:spacing w:after="0"/>
      </w:pPr>
      <w:r>
        <w:separator/>
      </w:r>
    </w:p>
  </w:endnote>
  <w:endnote w:type="continuationSeparator" w:id="0">
    <w:p w14:paraId="6460B776" w14:textId="77777777" w:rsidR="00D2576B" w:rsidRDefault="00D2576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984C4" w14:textId="77777777" w:rsidR="00D2576B" w:rsidRDefault="00D2576B" w:rsidP="002B3503">
      <w:pPr>
        <w:spacing w:after="0"/>
      </w:pPr>
      <w:r>
        <w:separator/>
      </w:r>
    </w:p>
  </w:footnote>
  <w:footnote w:type="continuationSeparator" w:id="0">
    <w:p w14:paraId="282C1520" w14:textId="77777777" w:rsidR="00D2576B" w:rsidRDefault="00D2576B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D1996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03D"/>
    <w:rsid w:val="000053ED"/>
    <w:rsid w:val="00005C62"/>
    <w:rsid w:val="00006128"/>
    <w:rsid w:val="000105E7"/>
    <w:rsid w:val="00020E8E"/>
    <w:rsid w:val="00046336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0E60C6"/>
    <w:rsid w:val="000F21F8"/>
    <w:rsid w:val="000F3370"/>
    <w:rsid w:val="000F3D72"/>
    <w:rsid w:val="00107494"/>
    <w:rsid w:val="001312D5"/>
    <w:rsid w:val="001316F4"/>
    <w:rsid w:val="00142695"/>
    <w:rsid w:val="001752EC"/>
    <w:rsid w:val="00176A88"/>
    <w:rsid w:val="00187D52"/>
    <w:rsid w:val="00194C99"/>
    <w:rsid w:val="001A62C7"/>
    <w:rsid w:val="001A72CC"/>
    <w:rsid w:val="001B58CB"/>
    <w:rsid w:val="001D280E"/>
    <w:rsid w:val="001D6B98"/>
    <w:rsid w:val="0020456B"/>
    <w:rsid w:val="0023400B"/>
    <w:rsid w:val="0024404E"/>
    <w:rsid w:val="00251E98"/>
    <w:rsid w:val="00262653"/>
    <w:rsid w:val="002873B5"/>
    <w:rsid w:val="00291349"/>
    <w:rsid w:val="00295825"/>
    <w:rsid w:val="002A3B5B"/>
    <w:rsid w:val="002A45CC"/>
    <w:rsid w:val="002A67DF"/>
    <w:rsid w:val="002A7181"/>
    <w:rsid w:val="002B3503"/>
    <w:rsid w:val="002D7916"/>
    <w:rsid w:val="002E4DE0"/>
    <w:rsid w:val="003008F8"/>
    <w:rsid w:val="003057F1"/>
    <w:rsid w:val="00311E44"/>
    <w:rsid w:val="00327ABE"/>
    <w:rsid w:val="00332A7E"/>
    <w:rsid w:val="00345613"/>
    <w:rsid w:val="003703E8"/>
    <w:rsid w:val="003706D1"/>
    <w:rsid w:val="00381595"/>
    <w:rsid w:val="00390ABF"/>
    <w:rsid w:val="003A06D8"/>
    <w:rsid w:val="003B22FD"/>
    <w:rsid w:val="003B24E3"/>
    <w:rsid w:val="003B29F6"/>
    <w:rsid w:val="003B5A56"/>
    <w:rsid w:val="003C6E5A"/>
    <w:rsid w:val="003F7885"/>
    <w:rsid w:val="0040153D"/>
    <w:rsid w:val="00433492"/>
    <w:rsid w:val="0043450E"/>
    <w:rsid w:val="00457704"/>
    <w:rsid w:val="004849A9"/>
    <w:rsid w:val="004A30FF"/>
    <w:rsid w:val="004A70BC"/>
    <w:rsid w:val="004C22D3"/>
    <w:rsid w:val="004C3446"/>
    <w:rsid w:val="004C3EB7"/>
    <w:rsid w:val="004D6788"/>
    <w:rsid w:val="004E4C23"/>
    <w:rsid w:val="00500D3F"/>
    <w:rsid w:val="00513CA2"/>
    <w:rsid w:val="00526090"/>
    <w:rsid w:val="00550412"/>
    <w:rsid w:val="00554CD2"/>
    <w:rsid w:val="00563834"/>
    <w:rsid w:val="005666F3"/>
    <w:rsid w:val="00567A80"/>
    <w:rsid w:val="00594A88"/>
    <w:rsid w:val="00597F5F"/>
    <w:rsid w:val="005A12AE"/>
    <w:rsid w:val="005B3437"/>
    <w:rsid w:val="005C682A"/>
    <w:rsid w:val="005D5AFE"/>
    <w:rsid w:val="005E1B0E"/>
    <w:rsid w:val="00607EA6"/>
    <w:rsid w:val="00610127"/>
    <w:rsid w:val="00624005"/>
    <w:rsid w:val="00633AC0"/>
    <w:rsid w:val="006529D0"/>
    <w:rsid w:val="00657541"/>
    <w:rsid w:val="006675DE"/>
    <w:rsid w:val="00676615"/>
    <w:rsid w:val="00695945"/>
    <w:rsid w:val="006C00D8"/>
    <w:rsid w:val="006C1FE7"/>
    <w:rsid w:val="006C6840"/>
    <w:rsid w:val="006E53A8"/>
    <w:rsid w:val="006F5DBA"/>
    <w:rsid w:val="006F628D"/>
    <w:rsid w:val="00717707"/>
    <w:rsid w:val="00722921"/>
    <w:rsid w:val="00725B20"/>
    <w:rsid w:val="0072684B"/>
    <w:rsid w:val="00727051"/>
    <w:rsid w:val="007343CE"/>
    <w:rsid w:val="0073626C"/>
    <w:rsid w:val="00741F6E"/>
    <w:rsid w:val="0074765D"/>
    <w:rsid w:val="00757F10"/>
    <w:rsid w:val="007656C9"/>
    <w:rsid w:val="00780BC6"/>
    <w:rsid w:val="00783813"/>
    <w:rsid w:val="007A2155"/>
    <w:rsid w:val="007A6F1E"/>
    <w:rsid w:val="007C0E6E"/>
    <w:rsid w:val="007C6B3D"/>
    <w:rsid w:val="007E2DD4"/>
    <w:rsid w:val="007F3B8C"/>
    <w:rsid w:val="0080311A"/>
    <w:rsid w:val="008263A4"/>
    <w:rsid w:val="00843155"/>
    <w:rsid w:val="0085216A"/>
    <w:rsid w:val="008707AE"/>
    <w:rsid w:val="00872DF2"/>
    <w:rsid w:val="0087786D"/>
    <w:rsid w:val="0088722A"/>
    <w:rsid w:val="00892A25"/>
    <w:rsid w:val="008A093B"/>
    <w:rsid w:val="008A4493"/>
    <w:rsid w:val="008B33A3"/>
    <w:rsid w:val="008C18EC"/>
    <w:rsid w:val="008C72F3"/>
    <w:rsid w:val="008D576A"/>
    <w:rsid w:val="008D5B5E"/>
    <w:rsid w:val="008E2C44"/>
    <w:rsid w:val="008F26A8"/>
    <w:rsid w:val="008F4B2A"/>
    <w:rsid w:val="009052A3"/>
    <w:rsid w:val="00913BA8"/>
    <w:rsid w:val="00940559"/>
    <w:rsid w:val="009B787F"/>
    <w:rsid w:val="009C0FE1"/>
    <w:rsid w:val="009C1335"/>
    <w:rsid w:val="009D7045"/>
    <w:rsid w:val="009F52E6"/>
    <w:rsid w:val="00A01645"/>
    <w:rsid w:val="00A15F26"/>
    <w:rsid w:val="00A316FB"/>
    <w:rsid w:val="00A43CD2"/>
    <w:rsid w:val="00A451E8"/>
    <w:rsid w:val="00A454E4"/>
    <w:rsid w:val="00A57DD1"/>
    <w:rsid w:val="00A66B50"/>
    <w:rsid w:val="00A72F5A"/>
    <w:rsid w:val="00A73039"/>
    <w:rsid w:val="00A82C6D"/>
    <w:rsid w:val="00A8362A"/>
    <w:rsid w:val="00AA2D18"/>
    <w:rsid w:val="00AD1A45"/>
    <w:rsid w:val="00AF17D1"/>
    <w:rsid w:val="00AF432F"/>
    <w:rsid w:val="00AF65C0"/>
    <w:rsid w:val="00B05244"/>
    <w:rsid w:val="00B14BFC"/>
    <w:rsid w:val="00B2288E"/>
    <w:rsid w:val="00B246D7"/>
    <w:rsid w:val="00B30E2E"/>
    <w:rsid w:val="00B32723"/>
    <w:rsid w:val="00B373BE"/>
    <w:rsid w:val="00B44D1F"/>
    <w:rsid w:val="00B45BF6"/>
    <w:rsid w:val="00B52AFA"/>
    <w:rsid w:val="00B712E1"/>
    <w:rsid w:val="00B85846"/>
    <w:rsid w:val="00B86687"/>
    <w:rsid w:val="00BC5ED2"/>
    <w:rsid w:val="00BC764C"/>
    <w:rsid w:val="00C132FB"/>
    <w:rsid w:val="00C21D68"/>
    <w:rsid w:val="00C4277D"/>
    <w:rsid w:val="00C5073C"/>
    <w:rsid w:val="00C531AF"/>
    <w:rsid w:val="00C70FB8"/>
    <w:rsid w:val="00C76AE1"/>
    <w:rsid w:val="00CD4B6A"/>
    <w:rsid w:val="00CE0858"/>
    <w:rsid w:val="00CE4FBF"/>
    <w:rsid w:val="00CE67FF"/>
    <w:rsid w:val="00D053D0"/>
    <w:rsid w:val="00D224E0"/>
    <w:rsid w:val="00D2576B"/>
    <w:rsid w:val="00D25F64"/>
    <w:rsid w:val="00D307BB"/>
    <w:rsid w:val="00D354F2"/>
    <w:rsid w:val="00D35CCF"/>
    <w:rsid w:val="00D825F3"/>
    <w:rsid w:val="00DA6622"/>
    <w:rsid w:val="00DC3B70"/>
    <w:rsid w:val="00DC7707"/>
    <w:rsid w:val="00DE7FB2"/>
    <w:rsid w:val="00DF083A"/>
    <w:rsid w:val="00DF5BCF"/>
    <w:rsid w:val="00DF6FC1"/>
    <w:rsid w:val="00E05396"/>
    <w:rsid w:val="00E203D5"/>
    <w:rsid w:val="00E35AEF"/>
    <w:rsid w:val="00E422AD"/>
    <w:rsid w:val="00E4493A"/>
    <w:rsid w:val="00E50949"/>
    <w:rsid w:val="00E91C70"/>
    <w:rsid w:val="00E91E54"/>
    <w:rsid w:val="00E92767"/>
    <w:rsid w:val="00E967A2"/>
    <w:rsid w:val="00EA62A1"/>
    <w:rsid w:val="00EA657B"/>
    <w:rsid w:val="00EB3CBD"/>
    <w:rsid w:val="00EC0B1B"/>
    <w:rsid w:val="00EC5C7B"/>
    <w:rsid w:val="00ED46E6"/>
    <w:rsid w:val="00EE6B5D"/>
    <w:rsid w:val="00EF6292"/>
    <w:rsid w:val="00F010A7"/>
    <w:rsid w:val="00F01F0F"/>
    <w:rsid w:val="00F1352A"/>
    <w:rsid w:val="00F221F6"/>
    <w:rsid w:val="00F40106"/>
    <w:rsid w:val="00F44B25"/>
    <w:rsid w:val="00F51CC8"/>
    <w:rsid w:val="00F6453B"/>
    <w:rsid w:val="00F777DB"/>
    <w:rsid w:val="00FA41A2"/>
    <w:rsid w:val="00FE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67D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67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67DF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1A72CC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59"/>
    <w:rsid w:val="00D35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2018-03-30T09:14:00Z</dcterms:created>
  <dcterms:modified xsi:type="dcterms:W3CDTF">2018-04-06T14:45:00Z</dcterms:modified>
</cp:coreProperties>
</file>